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8375" w14:textId="20EC9D45" w:rsidR="004361B1" w:rsidRPr="00E15B53" w:rsidRDefault="004361B1" w:rsidP="004361B1">
      <w:pPr>
        <w:pStyle w:val="Heading1"/>
        <w:ind w:right="545"/>
        <w:rPr>
          <w:color w:val="2E74B5" w:themeColor="accent5" w:themeShade="BF"/>
        </w:rPr>
      </w:pPr>
      <w:bookmarkStart w:id="0" w:name="_GoBack"/>
      <w:bookmarkEnd w:id="0"/>
      <w:r w:rsidRPr="00E15B53">
        <w:rPr>
          <w:color w:val="2E74B5" w:themeColor="accent5" w:themeShade="BF"/>
        </w:rPr>
        <w:t xml:space="preserve">Agenda Item </w:t>
      </w:r>
      <w:r w:rsidR="001F22E5">
        <w:rPr>
          <w:color w:val="2E74B5" w:themeColor="accent5" w:themeShade="BF"/>
        </w:rPr>
        <w:t>10:</w:t>
      </w:r>
      <w:r w:rsidR="007B5355" w:rsidRPr="00E15B53">
        <w:rPr>
          <w:color w:val="2E74B5" w:themeColor="accent5" w:themeShade="BF"/>
        </w:rPr>
        <w:t xml:space="preserve"> </w:t>
      </w:r>
      <w:r w:rsidRPr="00E15B53">
        <w:rPr>
          <w:color w:val="2E74B5" w:themeColor="accent5" w:themeShade="BF"/>
        </w:rPr>
        <w:t xml:space="preserve"> </w:t>
      </w:r>
      <w:r w:rsidR="004E4507" w:rsidRPr="00E15B53">
        <w:rPr>
          <w:color w:val="2E74B5" w:themeColor="accent5" w:themeShade="BF"/>
        </w:rPr>
        <w:t>Board-GAC Review Implementation (BGRI) Working Group</w:t>
      </w:r>
    </w:p>
    <w:p w14:paraId="6F7711BB" w14:textId="0A2CDF52" w:rsidR="00C365F8" w:rsidRPr="00C365F8" w:rsidRDefault="00C365F8" w:rsidP="00EA4C85">
      <w:pPr>
        <w:pStyle w:val="Heading2"/>
        <w:rPr>
          <w:b w:val="0"/>
          <w:sz w:val="20"/>
          <w:szCs w:val="20"/>
        </w:rPr>
      </w:pPr>
      <w:r w:rsidRPr="00C365F8">
        <w:rPr>
          <w:sz w:val="20"/>
          <w:szCs w:val="20"/>
        </w:rPr>
        <w:t xml:space="preserve">Note: </w:t>
      </w:r>
      <w:r w:rsidRPr="00C365F8">
        <w:rPr>
          <w:b w:val="0"/>
          <w:color w:val="000000" w:themeColor="text1"/>
          <w:sz w:val="20"/>
          <w:szCs w:val="20"/>
        </w:rPr>
        <w:t>This briefing has been prepared by ICANN support staff.</w:t>
      </w:r>
    </w:p>
    <w:p w14:paraId="0A7735AC" w14:textId="77777777" w:rsidR="00C365F8" w:rsidRPr="00C365F8" w:rsidRDefault="00C365F8" w:rsidP="00C365F8">
      <w:pPr>
        <w:pStyle w:val="BodyText"/>
        <w:rPr>
          <w:lang w:val="en-AU"/>
        </w:rPr>
      </w:pPr>
    </w:p>
    <w:p w14:paraId="3E153AFD" w14:textId="22C4B596" w:rsidR="00EA4C85" w:rsidRPr="00EA4C85" w:rsidRDefault="004361B1" w:rsidP="00EA4C85">
      <w:pPr>
        <w:pStyle w:val="Heading2"/>
      </w:pPr>
      <w:r w:rsidRPr="00EA4C85">
        <w:t>Issue</w:t>
      </w:r>
      <w:r w:rsidR="00F72B79" w:rsidRPr="00EA4C85">
        <w:t>:</w:t>
      </w:r>
    </w:p>
    <w:p w14:paraId="2FEB9F26" w14:textId="3C088949" w:rsidR="00EA4C85" w:rsidRPr="00C365F8" w:rsidRDefault="00E15B53" w:rsidP="00533EC9">
      <w:pPr>
        <w:pStyle w:val="Heading2"/>
        <w:rPr>
          <w:b w:val="0"/>
          <w:color w:val="000000" w:themeColor="text1"/>
          <w:sz w:val="20"/>
          <w:szCs w:val="20"/>
        </w:rPr>
      </w:pPr>
      <w:r>
        <w:tab/>
      </w:r>
      <w:r w:rsidRPr="00E15B53">
        <w:br/>
      </w:r>
      <w:r w:rsidRPr="00C365F8">
        <w:rPr>
          <w:b w:val="0"/>
          <w:color w:val="000000" w:themeColor="text1"/>
          <w:sz w:val="20"/>
          <w:szCs w:val="20"/>
        </w:rPr>
        <w:t xml:space="preserve">Efforts to improve the processing and tracking </w:t>
      </w:r>
      <w:r w:rsidR="008F68D5" w:rsidRPr="00C365F8">
        <w:rPr>
          <w:b w:val="0"/>
          <w:color w:val="000000" w:themeColor="text1"/>
          <w:sz w:val="20"/>
          <w:szCs w:val="20"/>
        </w:rPr>
        <w:t xml:space="preserve">of </w:t>
      </w:r>
      <w:r w:rsidRPr="00C365F8">
        <w:rPr>
          <w:b w:val="0"/>
          <w:color w:val="000000" w:themeColor="text1"/>
          <w:sz w:val="20"/>
          <w:szCs w:val="20"/>
        </w:rPr>
        <w:t xml:space="preserve">GAC advice have been an underlying focus of the </w:t>
      </w:r>
      <w:r w:rsidR="008F68D5" w:rsidRPr="00C365F8">
        <w:rPr>
          <w:b w:val="0"/>
          <w:color w:val="000000" w:themeColor="text1"/>
          <w:sz w:val="20"/>
          <w:szCs w:val="20"/>
        </w:rPr>
        <w:t>Board and GAC for some time</w:t>
      </w:r>
      <w:r w:rsidR="004134C7" w:rsidRPr="00C365F8">
        <w:rPr>
          <w:b w:val="0"/>
          <w:color w:val="000000" w:themeColor="text1"/>
          <w:sz w:val="20"/>
          <w:szCs w:val="20"/>
        </w:rPr>
        <w:t xml:space="preserve">.  The </w:t>
      </w:r>
      <w:r w:rsidR="004A7363" w:rsidRPr="00C365F8">
        <w:rPr>
          <w:b w:val="0"/>
          <w:color w:val="000000" w:themeColor="text1"/>
          <w:sz w:val="20"/>
          <w:szCs w:val="20"/>
        </w:rPr>
        <w:t xml:space="preserve">GAC has </w:t>
      </w:r>
      <w:r w:rsidR="008F68D5" w:rsidRPr="00C365F8">
        <w:rPr>
          <w:b w:val="0"/>
          <w:color w:val="000000" w:themeColor="text1"/>
          <w:sz w:val="20"/>
          <w:szCs w:val="20"/>
        </w:rPr>
        <w:t xml:space="preserve">realized </w:t>
      </w:r>
      <w:r w:rsidR="00533EC9" w:rsidRPr="00C365F8">
        <w:rPr>
          <w:b w:val="0"/>
          <w:color w:val="000000" w:themeColor="text1"/>
          <w:sz w:val="20"/>
          <w:szCs w:val="20"/>
        </w:rPr>
        <w:t>i</w:t>
      </w:r>
      <w:r w:rsidR="004A7363" w:rsidRPr="00C365F8">
        <w:rPr>
          <w:b w:val="0"/>
          <w:color w:val="000000" w:themeColor="text1"/>
          <w:sz w:val="20"/>
          <w:szCs w:val="20"/>
        </w:rPr>
        <w:t>mprovements</w:t>
      </w:r>
      <w:r w:rsidR="00083781" w:rsidRPr="00C365F8">
        <w:rPr>
          <w:b w:val="0"/>
          <w:color w:val="000000" w:themeColor="text1"/>
          <w:sz w:val="20"/>
          <w:szCs w:val="20"/>
        </w:rPr>
        <w:t xml:space="preserve"> in </w:t>
      </w:r>
      <w:r w:rsidR="004134C7" w:rsidRPr="00C365F8">
        <w:rPr>
          <w:b w:val="0"/>
          <w:color w:val="000000" w:themeColor="text1"/>
          <w:sz w:val="20"/>
          <w:szCs w:val="20"/>
        </w:rPr>
        <w:t xml:space="preserve">its </w:t>
      </w:r>
      <w:r w:rsidR="00083781" w:rsidRPr="00C365F8">
        <w:rPr>
          <w:b w:val="0"/>
          <w:color w:val="000000" w:themeColor="text1"/>
          <w:sz w:val="20"/>
          <w:szCs w:val="20"/>
        </w:rPr>
        <w:t>work met</w:t>
      </w:r>
      <w:r w:rsidR="004A7363" w:rsidRPr="00C365F8">
        <w:rPr>
          <w:b w:val="0"/>
          <w:color w:val="000000" w:themeColor="text1"/>
          <w:sz w:val="20"/>
          <w:szCs w:val="20"/>
        </w:rPr>
        <w:t xml:space="preserve">hods and </w:t>
      </w:r>
      <w:r w:rsidR="004134C7" w:rsidRPr="00C365F8">
        <w:rPr>
          <w:b w:val="0"/>
          <w:color w:val="000000" w:themeColor="text1"/>
          <w:sz w:val="20"/>
          <w:szCs w:val="20"/>
        </w:rPr>
        <w:t xml:space="preserve">efforts to improve </w:t>
      </w:r>
      <w:r w:rsidR="004A7363" w:rsidRPr="00C365F8">
        <w:rPr>
          <w:b w:val="0"/>
          <w:color w:val="000000" w:themeColor="text1"/>
          <w:sz w:val="20"/>
          <w:szCs w:val="20"/>
        </w:rPr>
        <w:t>processes between the GAC and the ICANN Board have progressed over the last several years</w:t>
      </w:r>
      <w:r w:rsidR="00EA4C85" w:rsidRPr="00C365F8">
        <w:rPr>
          <w:b w:val="0"/>
          <w:color w:val="000000" w:themeColor="text1"/>
          <w:sz w:val="20"/>
          <w:szCs w:val="20"/>
        </w:rPr>
        <w:t>.</w:t>
      </w:r>
    </w:p>
    <w:p w14:paraId="2E879282" w14:textId="77777777" w:rsidR="00533EC9" w:rsidRPr="00C365F8" w:rsidRDefault="00533EC9" w:rsidP="00533EC9">
      <w:pPr>
        <w:pStyle w:val="BodyText"/>
        <w:rPr>
          <w:sz w:val="20"/>
          <w:szCs w:val="20"/>
          <w:lang w:val="en-AU"/>
        </w:rPr>
      </w:pPr>
    </w:p>
    <w:p w14:paraId="4C4C6784" w14:textId="48520062" w:rsidR="00533EC9" w:rsidRPr="00C365F8" w:rsidRDefault="00E6612A" w:rsidP="00533EC9">
      <w:pPr>
        <w:pStyle w:val="BodyText"/>
        <w:spacing w:after="0" w:line="276" w:lineRule="auto"/>
        <w:rPr>
          <w:rFonts w:ascii="Century Gothic" w:hAnsi="Century Gothic"/>
          <w:color w:val="000000" w:themeColor="text1"/>
          <w:sz w:val="20"/>
          <w:szCs w:val="20"/>
          <w:lang w:val="en-AU"/>
        </w:rPr>
      </w:pPr>
      <w:r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O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riginated back in 2011 to </w:t>
      </w:r>
      <w:r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address recommendations from the first 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Accountability and Transparency R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eview Team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 (ATRT)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, the </w:t>
      </w:r>
      <w:r w:rsidR="004134C7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Board-GAC Review Implementation Working Group (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BGRI</w:t>
      </w:r>
      <w:r w:rsidR="004134C7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)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 has proven to be a useful vehicle for regular dialogue between the Board a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nd GAC members</w:t>
      </w:r>
      <w:r w:rsidR="004134C7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.  To date, the work has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 improve</w:t>
      </w:r>
      <w:r w:rsidR="004134C7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d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 the receip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t, consideration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,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 processing and tracking of GAC advice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 by the ICANN Board. 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Issues 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under </w:t>
      </w:r>
      <w:r w:rsidR="004134C7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BGRI 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discussion 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 xml:space="preserve">have ranged from the actual definition of GAC advice to information exchange between the two entities, to GAC secretariat support and 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amendment of the GAC Operat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ing Principles among s</w:t>
      </w:r>
      <w:r w:rsidR="00EA4C85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e</w:t>
      </w:r>
      <w:r w:rsidR="00366290"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veral other topics.</w:t>
      </w:r>
    </w:p>
    <w:p w14:paraId="0CE590DD" w14:textId="77777777" w:rsidR="00533EC9" w:rsidRPr="00C365F8" w:rsidRDefault="00533EC9" w:rsidP="000F5DA7">
      <w:pPr>
        <w:pStyle w:val="BodyText"/>
        <w:spacing w:line="276" w:lineRule="auto"/>
        <w:rPr>
          <w:rFonts w:ascii="Century Gothic" w:hAnsi="Century Gothic"/>
          <w:color w:val="000000" w:themeColor="text1"/>
          <w:sz w:val="20"/>
          <w:szCs w:val="20"/>
          <w:lang w:val="en-AU"/>
        </w:rPr>
      </w:pPr>
    </w:p>
    <w:p w14:paraId="07E0330C" w14:textId="2A2C10EA" w:rsidR="00533EC9" w:rsidRPr="00C365F8" w:rsidRDefault="00533EC9" w:rsidP="00533EC9">
      <w:pPr>
        <w:pStyle w:val="BodyText"/>
        <w:spacing w:after="0" w:line="276" w:lineRule="auto"/>
        <w:rPr>
          <w:rFonts w:ascii="Century Gothic" w:hAnsi="Century Gothic"/>
          <w:color w:val="000000" w:themeColor="text1"/>
          <w:sz w:val="20"/>
          <w:szCs w:val="20"/>
          <w:lang w:val="en-AU"/>
        </w:rPr>
      </w:pPr>
      <w:r w:rsidRPr="00C365F8">
        <w:rPr>
          <w:rFonts w:ascii="Century Gothic" w:hAnsi="Century Gothic"/>
          <w:color w:val="000000" w:themeColor="text1"/>
          <w:sz w:val="20"/>
          <w:szCs w:val="20"/>
          <w:lang w:val="en-AU"/>
        </w:rPr>
        <w:t>More recently, the GAC Leadership and Board members have utilized the BGRI as a useful vehicle for operational discussions and examinations of strategic aspects of their working relationship.</w:t>
      </w:r>
    </w:p>
    <w:p w14:paraId="3AD58F69" w14:textId="77777777" w:rsidR="00EA4C85" w:rsidRPr="00C365F8" w:rsidRDefault="00EA4C85" w:rsidP="00EA4C85">
      <w:pPr>
        <w:pStyle w:val="BodyText"/>
        <w:rPr>
          <w:rFonts w:ascii="Century Gothic" w:hAnsi="Century Gothic"/>
          <w:color w:val="000000" w:themeColor="text1"/>
          <w:sz w:val="20"/>
          <w:szCs w:val="20"/>
          <w:lang w:val="en-AU"/>
        </w:rPr>
      </w:pPr>
    </w:p>
    <w:p w14:paraId="4E860E82" w14:textId="5D67D87C" w:rsidR="004361B1" w:rsidRDefault="004361B1" w:rsidP="00EA4C85">
      <w:pPr>
        <w:pStyle w:val="Heading2"/>
      </w:pPr>
      <w:r>
        <w:t>GAC Action Required</w:t>
      </w:r>
      <w:r w:rsidR="00492172">
        <w:t>:</w:t>
      </w:r>
    </w:p>
    <w:p w14:paraId="4E41603B" w14:textId="77777777" w:rsidR="004134C7" w:rsidRDefault="004134C7" w:rsidP="004134C7">
      <w:pPr>
        <w:pStyle w:val="BodyText"/>
        <w:rPr>
          <w:lang w:val="en-AU"/>
        </w:rPr>
      </w:pPr>
    </w:p>
    <w:p w14:paraId="3D15A20F" w14:textId="10D67A81" w:rsidR="004134C7" w:rsidRPr="00C365F8" w:rsidRDefault="004134C7" w:rsidP="004134C7">
      <w:pPr>
        <w:pStyle w:val="BodyText"/>
        <w:rPr>
          <w:rFonts w:ascii="Century Gothic" w:hAnsi="Century Gothic"/>
          <w:sz w:val="20"/>
          <w:szCs w:val="20"/>
          <w:lang w:val="en-AU"/>
        </w:rPr>
      </w:pPr>
      <w:r w:rsidRPr="00C365F8">
        <w:rPr>
          <w:rFonts w:ascii="Century Gothic" w:hAnsi="Century Gothic"/>
          <w:sz w:val="20"/>
          <w:szCs w:val="20"/>
          <w:lang w:val="en-AU"/>
        </w:rPr>
        <w:t>The improvements work is not over and there are additional matters to be explored between these two important ICANN groups.</w:t>
      </w:r>
    </w:p>
    <w:p w14:paraId="4CAB09DD" w14:textId="77777777" w:rsidR="000A353D" w:rsidRPr="000A353D" w:rsidRDefault="000A353D" w:rsidP="004361B1">
      <w:pPr>
        <w:pStyle w:val="BodyText"/>
        <w:rPr>
          <w:lang w:val="en-AU"/>
        </w:rPr>
      </w:pPr>
    </w:p>
    <w:p w14:paraId="544559DF" w14:textId="75B51315" w:rsidR="004361B1" w:rsidRDefault="004361B1" w:rsidP="00EA4C85">
      <w:pPr>
        <w:pStyle w:val="Heading2"/>
      </w:pPr>
      <w:r>
        <w:t>Current Position</w:t>
      </w:r>
      <w:r w:rsidR="00492172">
        <w:t>:</w:t>
      </w:r>
    </w:p>
    <w:p w14:paraId="0B893029" w14:textId="77777777" w:rsidR="00F42B96" w:rsidRDefault="00F42B96" w:rsidP="00F42B96">
      <w:pPr>
        <w:pStyle w:val="BodyText"/>
        <w:rPr>
          <w:lang w:val="en-AU"/>
        </w:rPr>
      </w:pPr>
    </w:p>
    <w:p w14:paraId="29095243" w14:textId="0B0FE023" w:rsidR="00F42B96" w:rsidRPr="00C365F8" w:rsidRDefault="00F42B96" w:rsidP="00F42B96">
      <w:pPr>
        <w:pStyle w:val="BodyText"/>
        <w:rPr>
          <w:rFonts w:ascii="Century Gothic" w:hAnsi="Century Gothic"/>
          <w:sz w:val="20"/>
          <w:szCs w:val="20"/>
          <w:lang w:val="en-AU"/>
        </w:rPr>
      </w:pPr>
      <w:r w:rsidRPr="00C365F8">
        <w:rPr>
          <w:rFonts w:ascii="Century Gothic" w:hAnsi="Century Gothic"/>
          <w:sz w:val="20"/>
          <w:szCs w:val="20"/>
          <w:lang w:val="en-AU"/>
        </w:rPr>
        <w:t>While still under development, the agenda items under discussion for this session currently include the following topics:</w:t>
      </w:r>
    </w:p>
    <w:p w14:paraId="46A80EFA" w14:textId="77777777" w:rsidR="007074E5" w:rsidRPr="00C365F8" w:rsidRDefault="007074E5" w:rsidP="00F42B96">
      <w:pPr>
        <w:pStyle w:val="BodyText"/>
        <w:rPr>
          <w:rFonts w:ascii="Century Gothic" w:hAnsi="Century Gothic"/>
          <w:sz w:val="20"/>
          <w:szCs w:val="20"/>
          <w:lang w:val="en-AU"/>
        </w:rPr>
      </w:pPr>
    </w:p>
    <w:p w14:paraId="70D5FB6A" w14:textId="77777777" w:rsidR="00533EC9" w:rsidRPr="00C365F8" w:rsidRDefault="00533EC9" w:rsidP="00533EC9">
      <w:pPr>
        <w:pStyle w:val="BodyText"/>
        <w:ind w:left="720"/>
        <w:rPr>
          <w:rFonts w:ascii="Century Gothic" w:hAnsi="Century Gothic"/>
          <w:sz w:val="20"/>
          <w:szCs w:val="20"/>
        </w:rPr>
      </w:pPr>
      <w:r w:rsidRPr="00C365F8">
        <w:rPr>
          <w:rFonts w:ascii="Century Gothic" w:hAnsi="Century Gothic"/>
          <w:sz w:val="20"/>
          <w:szCs w:val="20"/>
        </w:rPr>
        <w:t>1.  Action Request Register</w:t>
      </w:r>
    </w:p>
    <w:p w14:paraId="5C1AF7B5" w14:textId="77777777" w:rsidR="00533EC9" w:rsidRPr="00C365F8" w:rsidRDefault="00533EC9" w:rsidP="00533EC9">
      <w:pPr>
        <w:pStyle w:val="BodyText"/>
        <w:ind w:left="1440"/>
        <w:rPr>
          <w:rFonts w:ascii="Century Gothic" w:hAnsi="Century Gothic"/>
          <w:sz w:val="20"/>
          <w:szCs w:val="20"/>
        </w:rPr>
      </w:pPr>
      <w:r w:rsidRPr="00C365F8">
        <w:rPr>
          <w:rFonts w:ascii="Century Gothic" w:hAnsi="Century Gothic"/>
          <w:sz w:val="20"/>
          <w:szCs w:val="20"/>
        </w:rPr>
        <w:t>a.  Status and Next Steps</w:t>
      </w:r>
    </w:p>
    <w:p w14:paraId="119DD1AB" w14:textId="77777777" w:rsidR="00533EC9" w:rsidRPr="00C365F8" w:rsidRDefault="00533EC9" w:rsidP="00533EC9">
      <w:pPr>
        <w:pStyle w:val="BodyText"/>
        <w:ind w:left="1440"/>
        <w:rPr>
          <w:rFonts w:ascii="Century Gothic" w:hAnsi="Century Gothic"/>
          <w:sz w:val="20"/>
          <w:szCs w:val="20"/>
        </w:rPr>
      </w:pPr>
      <w:r w:rsidRPr="00C365F8">
        <w:rPr>
          <w:rFonts w:ascii="Century Gothic" w:hAnsi="Century Gothic"/>
          <w:sz w:val="20"/>
          <w:szCs w:val="20"/>
        </w:rPr>
        <w:t>b.  Consideration of historic (pre-Beijing) advice and potentially other categories (e.g., GAC principles on ccTLDs, or new gTLDs?)</w:t>
      </w:r>
    </w:p>
    <w:p w14:paraId="6E814AB6" w14:textId="77777777" w:rsidR="00533EC9" w:rsidRPr="00C365F8" w:rsidRDefault="00533EC9" w:rsidP="00533EC9">
      <w:pPr>
        <w:pStyle w:val="BodyText"/>
        <w:ind w:left="720"/>
        <w:rPr>
          <w:rFonts w:ascii="Century Gothic" w:hAnsi="Century Gothic"/>
          <w:sz w:val="20"/>
          <w:szCs w:val="20"/>
        </w:rPr>
      </w:pPr>
      <w:r w:rsidRPr="00C365F8">
        <w:rPr>
          <w:rFonts w:ascii="Century Gothic" w:hAnsi="Century Gothic"/>
          <w:sz w:val="20"/>
          <w:szCs w:val="20"/>
        </w:rPr>
        <w:lastRenderedPageBreak/>
        <w:t>2.  2-Character Web Info Follow-up (Update from ICANN Product Management Team)</w:t>
      </w:r>
    </w:p>
    <w:p w14:paraId="413C8410" w14:textId="77777777" w:rsidR="00533EC9" w:rsidRPr="00C365F8" w:rsidRDefault="00533EC9" w:rsidP="00533EC9">
      <w:pPr>
        <w:pStyle w:val="BodyText"/>
        <w:rPr>
          <w:rFonts w:ascii="Century Gothic" w:hAnsi="Century Gothic"/>
          <w:sz w:val="20"/>
          <w:szCs w:val="20"/>
        </w:rPr>
      </w:pPr>
    </w:p>
    <w:p w14:paraId="49A33DEB" w14:textId="45C017FD" w:rsidR="00533EC9" w:rsidRPr="00C365F8" w:rsidRDefault="00533EC9" w:rsidP="00533EC9">
      <w:pPr>
        <w:pStyle w:val="BodyText"/>
        <w:rPr>
          <w:rFonts w:ascii="Century Gothic" w:hAnsi="Century Gothic"/>
          <w:sz w:val="20"/>
          <w:szCs w:val="20"/>
        </w:rPr>
      </w:pPr>
      <w:r w:rsidRPr="00C365F8">
        <w:rPr>
          <w:rFonts w:ascii="Century Gothic" w:hAnsi="Century Gothic"/>
          <w:sz w:val="20"/>
          <w:szCs w:val="20"/>
        </w:rPr>
        <w:t>Updates will be made as this agenda evolves prior to the ICANN62 meeting.</w:t>
      </w:r>
    </w:p>
    <w:p w14:paraId="7D92772E" w14:textId="77777777" w:rsidR="00533EC9" w:rsidRPr="00533EC9" w:rsidRDefault="00533EC9" w:rsidP="00533EC9">
      <w:pPr>
        <w:pStyle w:val="BodyText"/>
        <w:rPr>
          <w:rFonts w:ascii="Century Gothic" w:hAnsi="Century Gothic"/>
        </w:rPr>
      </w:pPr>
    </w:p>
    <w:p w14:paraId="50295ED3" w14:textId="583D1093" w:rsidR="00E15B53" w:rsidRDefault="004361B1" w:rsidP="00EA4C85">
      <w:pPr>
        <w:pStyle w:val="Heading2"/>
      </w:pPr>
      <w:r w:rsidRPr="00E15B53">
        <w:t xml:space="preserve">Further </w:t>
      </w:r>
      <w:r w:rsidR="000A353D" w:rsidRPr="00E15B53">
        <w:t xml:space="preserve">Background </w:t>
      </w:r>
      <w:r w:rsidRPr="00E15B53">
        <w:t>Information</w:t>
      </w:r>
      <w:r w:rsidR="003F39D5" w:rsidRPr="00E15B53">
        <w:t>/Details</w:t>
      </w:r>
      <w:r w:rsidR="00492172" w:rsidRPr="00E15B53">
        <w:t>:</w:t>
      </w:r>
    </w:p>
    <w:p w14:paraId="4FFE7001" w14:textId="77777777" w:rsidR="00EA4C85" w:rsidRPr="00EA4C85" w:rsidRDefault="00EA4C85" w:rsidP="00EA4C85">
      <w:pPr>
        <w:pStyle w:val="BodyText"/>
        <w:rPr>
          <w:lang w:val="en-AU"/>
        </w:rPr>
      </w:pPr>
    </w:p>
    <w:p w14:paraId="1041C00F" w14:textId="3C5F3A36" w:rsidR="00603893" w:rsidRPr="00C365F8" w:rsidRDefault="00E15B53" w:rsidP="00EA4C85">
      <w:pPr>
        <w:pStyle w:val="Heading2"/>
        <w:rPr>
          <w:b w:val="0"/>
          <w:sz w:val="20"/>
          <w:szCs w:val="20"/>
        </w:rPr>
      </w:pPr>
      <w:r w:rsidRPr="00C365F8">
        <w:rPr>
          <w:b w:val="0"/>
          <w:color w:val="000000" w:themeColor="text1"/>
          <w:sz w:val="20"/>
          <w:szCs w:val="20"/>
        </w:rPr>
        <w:t>The Board-GAC Recommendations Implementation Working Group (BGRI-WG)</w:t>
      </w:r>
      <w:r w:rsidR="00603893" w:rsidRPr="00C365F8">
        <w:rPr>
          <w:b w:val="0"/>
          <w:color w:val="000000" w:themeColor="text1"/>
          <w:sz w:val="20"/>
          <w:szCs w:val="20"/>
        </w:rPr>
        <w:t xml:space="preserve"> </w:t>
      </w:r>
      <w:r w:rsidRPr="00C365F8">
        <w:rPr>
          <w:b w:val="0"/>
          <w:sz w:val="20"/>
          <w:szCs w:val="20"/>
        </w:rPr>
        <w:t>(</w:t>
      </w:r>
      <w:hyperlink r:id="rId7" w:tgtFrame="_blank" w:history="1">
        <w:r w:rsidRPr="00C365F8">
          <w:rPr>
            <w:rStyle w:val="Hyperlink"/>
            <w:b w:val="0"/>
            <w:color w:val="034990" w:themeColor="hyperlink" w:themeShade="BF"/>
            <w:sz w:val="20"/>
            <w:szCs w:val="20"/>
            <w:lang w:val="en-US"/>
          </w:rPr>
          <w:t>https://www.icann.org/resources/pages/board-gac-2011-2012-02-28-en</w:t>
        </w:r>
      </w:hyperlink>
      <w:r w:rsidRPr="00C365F8">
        <w:rPr>
          <w:b w:val="0"/>
          <w:sz w:val="20"/>
          <w:szCs w:val="20"/>
        </w:rPr>
        <w:t>) </w:t>
      </w:r>
      <w:r w:rsidRPr="00C365F8">
        <w:rPr>
          <w:b w:val="0"/>
          <w:color w:val="000000" w:themeColor="text1"/>
          <w:sz w:val="20"/>
          <w:szCs w:val="20"/>
        </w:rPr>
        <w:t>was originally created to implement GAC-related recommendations of the first ICANN Accountability and Transparency Review Team</w:t>
      </w:r>
      <w:r w:rsidR="00533EC9" w:rsidRPr="00C365F8">
        <w:rPr>
          <w:b w:val="0"/>
          <w:color w:val="000000" w:themeColor="text1"/>
          <w:sz w:val="20"/>
          <w:szCs w:val="20"/>
        </w:rPr>
        <w:t xml:space="preserve"> </w:t>
      </w:r>
      <w:r w:rsidRPr="00C365F8">
        <w:rPr>
          <w:b w:val="0"/>
          <w:color w:val="000000" w:themeColor="text1"/>
          <w:sz w:val="20"/>
          <w:szCs w:val="20"/>
        </w:rPr>
        <w:t>(ATRT1),</w:t>
      </w:r>
      <w:r w:rsidR="00533EC9" w:rsidRPr="00C365F8">
        <w:rPr>
          <w:b w:val="0"/>
          <w:color w:val="000000" w:themeColor="text1"/>
          <w:sz w:val="20"/>
          <w:szCs w:val="20"/>
        </w:rPr>
        <w:t xml:space="preserve"> </w:t>
      </w:r>
      <w:hyperlink r:id="rId8" w:tgtFrame="_blank" w:history="1">
        <w:r w:rsidRPr="00C365F8">
          <w:rPr>
            <w:rStyle w:val="Hyperlink"/>
            <w:b w:val="0"/>
            <w:color w:val="034990" w:themeColor="hyperlink" w:themeShade="BF"/>
            <w:sz w:val="20"/>
            <w:szCs w:val="20"/>
            <w:lang w:val="en-US"/>
          </w:rPr>
          <w:t>https://www.icann.org/resources/reviews/specific-reviews/atrt</w:t>
        </w:r>
      </w:hyperlink>
      <w:r w:rsidRPr="00C365F8">
        <w:rPr>
          <w:b w:val="0"/>
          <w:sz w:val="20"/>
          <w:szCs w:val="20"/>
        </w:rPr>
        <w:t xml:space="preserve">.  </w:t>
      </w:r>
    </w:p>
    <w:p w14:paraId="35E16029" w14:textId="77777777" w:rsidR="00603893" w:rsidRPr="00C365F8" w:rsidRDefault="00603893" w:rsidP="00EA4C85">
      <w:pPr>
        <w:pStyle w:val="Heading2"/>
        <w:rPr>
          <w:b w:val="0"/>
          <w:sz w:val="20"/>
          <w:szCs w:val="20"/>
        </w:rPr>
      </w:pPr>
    </w:p>
    <w:p w14:paraId="48596282" w14:textId="1911DABB" w:rsidR="006B0F0E" w:rsidRPr="00C365F8" w:rsidRDefault="00E15B53" w:rsidP="006B0F0E">
      <w:pPr>
        <w:rPr>
          <w:rFonts w:ascii="Century Gothic" w:hAnsi="Century Gothic"/>
          <w:sz w:val="20"/>
          <w:szCs w:val="20"/>
        </w:rPr>
      </w:pPr>
      <w:r w:rsidRPr="00C365F8">
        <w:rPr>
          <w:rFonts w:ascii="Century Gothic" w:hAnsi="Century Gothic"/>
          <w:color w:val="000000" w:themeColor="text1"/>
          <w:sz w:val="20"/>
          <w:szCs w:val="20"/>
        </w:rPr>
        <w:t xml:space="preserve">The BGRI’s </w:t>
      </w:r>
      <w:r w:rsidRPr="00C365F8">
        <w:rPr>
          <w:rFonts w:ascii="Century Gothic" w:eastAsia="Calibri" w:hAnsi="Century Gothic"/>
          <w:color w:val="000000" w:themeColor="text1"/>
          <w:sz w:val="20"/>
          <w:szCs w:val="20"/>
        </w:rPr>
        <w:t>term was then extended to implement GAC-related recommendations of the second Accountability and Transparency Review Team (ATRT2), </w:t>
      </w:r>
      <w:hyperlink r:id="rId9" w:tgtFrame="_blank" w:history="1">
        <w:r w:rsidRPr="00C365F8">
          <w:rPr>
            <w:rStyle w:val="Hyperlink"/>
            <w:rFonts w:ascii="Century Gothic" w:hAnsi="Century Gothic"/>
            <w:sz w:val="20"/>
            <w:szCs w:val="20"/>
          </w:rPr>
          <w:t>https://www.icann.org/resources/reviews/specific-reviews/atrt</w:t>
        </w:r>
      </w:hyperlink>
      <w:r w:rsidR="006B0F0E" w:rsidRPr="00C365F8">
        <w:rPr>
          <w:rFonts w:ascii="Century Gothic" w:eastAsia="Calibri" w:hAnsi="Century Gothic"/>
          <w:sz w:val="20"/>
          <w:szCs w:val="20"/>
        </w:rPr>
        <w:t>;</w:t>
      </w:r>
      <w:r w:rsidRPr="00C365F8">
        <w:rPr>
          <w:rFonts w:ascii="Century Gothic" w:eastAsia="Calibri" w:hAnsi="Century Gothic"/>
          <w:sz w:val="20"/>
          <w:szCs w:val="20"/>
        </w:rPr>
        <w:t> </w:t>
      </w:r>
      <w:r w:rsidR="006B0F0E" w:rsidRPr="00C365F8">
        <w:rPr>
          <w:rFonts w:ascii="Century Gothic" w:hAnsi="Century Gothic"/>
          <w:sz w:val="20"/>
          <w:szCs w:val="20"/>
        </w:rPr>
        <w:t xml:space="preserve"> </w:t>
      </w:r>
    </w:p>
    <w:p w14:paraId="2E6114EA" w14:textId="77777777" w:rsidR="006B0F0E" w:rsidRPr="00C365F8" w:rsidRDefault="006B0F0E" w:rsidP="006B0F0E">
      <w:pPr>
        <w:rPr>
          <w:rFonts w:ascii="Century Gothic" w:hAnsi="Century Gothic"/>
          <w:sz w:val="20"/>
          <w:szCs w:val="20"/>
        </w:rPr>
      </w:pPr>
    </w:p>
    <w:p w14:paraId="3DD60B1B" w14:textId="0BF4378A" w:rsidR="006B0F0E" w:rsidRPr="00C365F8" w:rsidRDefault="006B0F0E" w:rsidP="006B0F0E">
      <w:pPr>
        <w:rPr>
          <w:rFonts w:ascii="Century Gothic" w:hAnsi="Century Gothic"/>
          <w:color w:val="0000D4"/>
          <w:sz w:val="20"/>
          <w:szCs w:val="20"/>
        </w:rPr>
      </w:pPr>
      <w:r w:rsidRPr="00C365F8">
        <w:rPr>
          <w:rFonts w:ascii="Century Gothic" w:hAnsi="Century Gothic"/>
          <w:sz w:val="20"/>
          <w:szCs w:val="20"/>
        </w:rPr>
        <w:t xml:space="preserve">And see </w:t>
      </w:r>
      <w:r w:rsidRPr="00C365F8">
        <w:rPr>
          <w:rFonts w:ascii="Century Gothic" w:hAnsi="Century Gothic"/>
          <w:color w:val="000000" w:themeColor="text1"/>
          <w:sz w:val="20"/>
          <w:szCs w:val="20"/>
        </w:rPr>
        <w:t>ATRT2 Recommendation Implementation Wiki -</w:t>
      </w:r>
      <w:r w:rsidRPr="00C365F8">
        <w:rPr>
          <w:rFonts w:ascii="Century Gothic" w:hAnsi="Century Gothic"/>
          <w:color w:val="0000D4"/>
          <w:sz w:val="20"/>
          <w:szCs w:val="20"/>
          <w:u w:val="single"/>
        </w:rPr>
        <w:t xml:space="preserve"> </w:t>
      </w:r>
      <w:hyperlink r:id="rId10" w:history="1">
        <w:r w:rsidRPr="00C365F8">
          <w:rPr>
            <w:rStyle w:val="Hyperlink"/>
            <w:rFonts w:ascii="Century Gothic" w:hAnsi="Century Gothic"/>
            <w:sz w:val="20"/>
            <w:szCs w:val="20"/>
          </w:rPr>
          <w:t>https://community.icann.org/display/atrt/ATRT2+Implementation+Program</w:t>
        </w:r>
      </w:hyperlink>
      <w:r w:rsidRPr="00C365F8">
        <w:rPr>
          <w:rFonts w:ascii="Century Gothic" w:hAnsi="Century Gothic"/>
          <w:color w:val="0000D4"/>
          <w:sz w:val="20"/>
          <w:szCs w:val="20"/>
          <w:u w:val="single"/>
        </w:rPr>
        <w:t xml:space="preserve"> </w:t>
      </w:r>
      <w:r w:rsidRPr="00C365F8">
        <w:rPr>
          <w:rFonts w:ascii="Century Gothic" w:hAnsi="Century Gothic"/>
          <w:color w:val="0000D4"/>
          <w:sz w:val="20"/>
          <w:szCs w:val="20"/>
        </w:rPr>
        <w:t xml:space="preserve">- </w:t>
      </w:r>
      <w:r w:rsidRPr="00C365F8">
        <w:rPr>
          <w:rFonts w:ascii="Century Gothic" w:hAnsi="Century Gothic"/>
          <w:color w:val="000000" w:themeColor="text1"/>
          <w:sz w:val="20"/>
          <w:szCs w:val="20"/>
        </w:rPr>
        <w:t xml:space="preserve">see recommendation 6 for GAC recommendations </w:t>
      </w:r>
    </w:p>
    <w:p w14:paraId="05EAA68C" w14:textId="77777777" w:rsidR="004134C7" w:rsidRPr="006B0F0E" w:rsidRDefault="004134C7" w:rsidP="004134C7">
      <w:pPr>
        <w:pStyle w:val="BodyText"/>
        <w:rPr>
          <w:rFonts w:ascii="Century Gothic" w:hAnsi="Century Gothic"/>
          <w:lang w:val="en-AU"/>
        </w:rPr>
      </w:pPr>
    </w:p>
    <w:p w14:paraId="302575BD" w14:textId="7C9A591B" w:rsidR="004134C7" w:rsidRPr="006B0F0E" w:rsidRDefault="006B0F0E" w:rsidP="004134C7">
      <w:pPr>
        <w:pStyle w:val="BodyText"/>
        <w:rPr>
          <w:rFonts w:ascii="Century Gothic" w:hAnsi="Century Gothic"/>
          <w:b/>
          <w:lang w:val="en-AU"/>
        </w:rPr>
      </w:pPr>
      <w:r w:rsidRPr="006B0F0E">
        <w:rPr>
          <w:rFonts w:ascii="Century Gothic" w:hAnsi="Century Gothic"/>
          <w:b/>
          <w:lang w:val="en-AU"/>
        </w:rPr>
        <w:t>Other Useful Links</w:t>
      </w:r>
      <w:r w:rsidR="004134C7" w:rsidRPr="006B0F0E">
        <w:rPr>
          <w:rFonts w:ascii="Century Gothic" w:hAnsi="Century Gothic"/>
          <w:b/>
          <w:lang w:val="en-AU"/>
        </w:rPr>
        <w:t>:</w:t>
      </w:r>
    </w:p>
    <w:p w14:paraId="4EB47880" w14:textId="7CDA0220" w:rsidR="004134C7" w:rsidRPr="00C365F8" w:rsidRDefault="004134C7" w:rsidP="004134C7">
      <w:pPr>
        <w:rPr>
          <w:rFonts w:ascii="Century Gothic" w:hAnsi="Century Gothic"/>
          <w:sz w:val="20"/>
          <w:szCs w:val="20"/>
          <w:lang w:bidi="ar-EG"/>
        </w:rPr>
      </w:pPr>
      <w:r w:rsidRPr="00C365F8">
        <w:rPr>
          <w:rFonts w:ascii="Century Gothic" w:hAnsi="Century Gothic"/>
          <w:sz w:val="20"/>
          <w:szCs w:val="20"/>
          <w:lang w:bidi="ar-EG"/>
        </w:rPr>
        <w:t>Final Recommendations of the First ATRT – 31 Dec 2010:</w:t>
      </w:r>
    </w:p>
    <w:p w14:paraId="7C7FA4AE" w14:textId="77777777" w:rsidR="004134C7" w:rsidRPr="00C365F8" w:rsidRDefault="00C70D3A" w:rsidP="004134C7">
      <w:pPr>
        <w:rPr>
          <w:rFonts w:ascii="Century Gothic" w:hAnsi="Century Gothic"/>
          <w:sz w:val="20"/>
          <w:szCs w:val="20"/>
          <w:lang w:bidi="ar-EG"/>
        </w:rPr>
      </w:pPr>
      <w:hyperlink r:id="rId11" w:history="1">
        <w:r w:rsidR="004134C7" w:rsidRPr="00C365F8">
          <w:rPr>
            <w:rFonts w:ascii="Century Gothic" w:hAnsi="Century Gothic"/>
            <w:color w:val="0000D4"/>
            <w:sz w:val="20"/>
            <w:szCs w:val="20"/>
            <w:u w:val="single"/>
          </w:rPr>
          <w:t xml:space="preserve">http://www.icann.org/en/reviews/affirmation/atrt-final-recommendations-31dec10-en.pdf </w:t>
        </w:r>
      </w:hyperlink>
    </w:p>
    <w:p w14:paraId="43736A0B" w14:textId="77777777" w:rsidR="004134C7" w:rsidRPr="00C365F8" w:rsidRDefault="004134C7" w:rsidP="004134C7">
      <w:pPr>
        <w:pStyle w:val="ListParagraph"/>
        <w:rPr>
          <w:rFonts w:ascii="Century Gothic" w:hAnsi="Century Gothic"/>
          <w:sz w:val="20"/>
          <w:szCs w:val="20"/>
          <w:lang w:bidi="ar-EG"/>
        </w:rPr>
      </w:pPr>
    </w:p>
    <w:p w14:paraId="47DDB3C7" w14:textId="5F405E6D" w:rsidR="004134C7" w:rsidRPr="00C365F8" w:rsidRDefault="00C70D3A" w:rsidP="004134C7">
      <w:pPr>
        <w:rPr>
          <w:rFonts w:ascii="Century Gothic" w:hAnsi="Century Gothic"/>
          <w:sz w:val="20"/>
          <w:szCs w:val="20"/>
          <w:lang w:bidi="ar-EG"/>
        </w:rPr>
      </w:pPr>
      <w:hyperlink r:id="rId12" w:history="1">
        <w:r w:rsidR="004134C7" w:rsidRPr="00C365F8">
          <w:rPr>
            <w:rFonts w:ascii="Century Gothic" w:hAnsi="Century Gothic"/>
            <w:sz w:val="20"/>
            <w:szCs w:val="20"/>
            <w:lang w:bidi="ar-EG"/>
          </w:rPr>
          <w:t xml:space="preserve">Board/GAC JWG Final Report – 19 June 2011: </w:t>
        </w:r>
      </w:hyperlink>
    </w:p>
    <w:p w14:paraId="1F46A9D8" w14:textId="77777777" w:rsidR="004134C7" w:rsidRPr="00C365F8" w:rsidRDefault="00C70D3A" w:rsidP="004134C7">
      <w:pPr>
        <w:rPr>
          <w:rFonts w:ascii="Century Gothic" w:hAnsi="Century Gothic"/>
          <w:color w:val="0000D4"/>
          <w:sz w:val="20"/>
          <w:szCs w:val="20"/>
          <w:u w:val="single"/>
        </w:rPr>
      </w:pPr>
      <w:hyperlink r:id="rId13" w:history="1">
        <w:r w:rsidR="004134C7" w:rsidRPr="00C365F8">
          <w:rPr>
            <w:rFonts w:ascii="Century Gothic" w:hAnsi="Century Gothic"/>
            <w:color w:val="0000D4"/>
            <w:sz w:val="20"/>
            <w:szCs w:val="20"/>
            <w:u w:val="single"/>
          </w:rPr>
          <w:t xml:space="preserve">http://www.icann.org/en/committees/board-gac-2009/board-gac-jwg-final-report-19jun11-en.pdf </w:t>
        </w:r>
      </w:hyperlink>
    </w:p>
    <w:p w14:paraId="2027553B" w14:textId="77777777" w:rsidR="004134C7" w:rsidRPr="00C365F8" w:rsidRDefault="004134C7" w:rsidP="004134C7">
      <w:pPr>
        <w:rPr>
          <w:rFonts w:ascii="Century Gothic" w:hAnsi="Century Gothic"/>
          <w:color w:val="0000D4"/>
          <w:sz w:val="20"/>
          <w:szCs w:val="20"/>
          <w:u w:val="single"/>
        </w:rPr>
      </w:pPr>
    </w:p>
    <w:p w14:paraId="1FFD7AAC" w14:textId="5308AEAA" w:rsidR="004134C7" w:rsidRPr="00C365F8" w:rsidRDefault="006B0F0E" w:rsidP="004134C7">
      <w:pPr>
        <w:rPr>
          <w:rFonts w:ascii="Century Gothic" w:hAnsi="Century Gothic"/>
          <w:sz w:val="20"/>
          <w:szCs w:val="20"/>
          <w:lang w:bidi="ar-EG"/>
        </w:rPr>
      </w:pPr>
      <w:r w:rsidRPr="00C365F8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ICANN </w:t>
      </w:r>
      <w:r w:rsidR="004134C7" w:rsidRPr="00C365F8">
        <w:rPr>
          <w:rFonts w:ascii="Century Gothic" w:hAnsi="Century Gothic"/>
          <w:color w:val="000000" w:themeColor="text1"/>
          <w:sz w:val="20"/>
          <w:szCs w:val="20"/>
          <w:u w:val="single"/>
        </w:rPr>
        <w:t>ATRT Home Page</w:t>
      </w:r>
      <w:r w:rsidRPr="00C365F8">
        <w:rPr>
          <w:rFonts w:ascii="Century Gothic" w:hAnsi="Century Gothic"/>
          <w:color w:val="000000" w:themeColor="text1"/>
          <w:sz w:val="20"/>
          <w:szCs w:val="20"/>
          <w:u w:val="single"/>
        </w:rPr>
        <w:t>:</w:t>
      </w:r>
      <w:r w:rsidR="004134C7" w:rsidRPr="00C365F8">
        <w:rPr>
          <w:rFonts w:ascii="Century Gothic" w:hAnsi="Century Gothic"/>
          <w:color w:val="0000D4"/>
          <w:sz w:val="20"/>
          <w:szCs w:val="20"/>
          <w:u w:val="single"/>
        </w:rPr>
        <w:t xml:space="preserve"> </w:t>
      </w:r>
      <w:hyperlink r:id="rId14" w:history="1">
        <w:r w:rsidR="004134C7" w:rsidRPr="00C365F8">
          <w:rPr>
            <w:rStyle w:val="Hyperlink"/>
            <w:rFonts w:ascii="Century Gothic" w:hAnsi="Century Gothic"/>
            <w:sz w:val="20"/>
            <w:szCs w:val="20"/>
          </w:rPr>
          <w:t>https://www.icann.org/resources/accountability</w:t>
        </w:r>
      </w:hyperlink>
    </w:p>
    <w:p w14:paraId="38F89298" w14:textId="77777777" w:rsidR="004361B1" w:rsidRPr="00E06DE4" w:rsidRDefault="004361B1" w:rsidP="004361B1">
      <w:pPr>
        <w:pStyle w:val="BodyText"/>
        <w:ind w:right="545"/>
      </w:pPr>
    </w:p>
    <w:p w14:paraId="331C9076" w14:textId="77777777" w:rsidR="004361B1" w:rsidRDefault="004361B1" w:rsidP="00EA4C85">
      <w:pPr>
        <w:pStyle w:val="Heading2"/>
      </w:pPr>
      <w:bookmarkStart w:id="1" w:name="_Hlk484433727"/>
      <w:r>
        <w:t>Document 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4361B1" w:rsidRPr="003F43E3" w14:paraId="59EA12E9" w14:textId="77777777" w:rsidTr="00C365F8">
        <w:tc>
          <w:tcPr>
            <w:tcW w:w="3083" w:type="dxa"/>
            <w:vAlign w:val="center"/>
          </w:tcPr>
          <w:p w14:paraId="69DEBE08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439" w:type="dxa"/>
            <w:vAlign w:val="center"/>
          </w:tcPr>
          <w:p w14:paraId="212D1778" w14:textId="307FE7AD" w:rsidR="004361B1" w:rsidRPr="00EA3A02" w:rsidRDefault="00C365F8" w:rsidP="003F39D5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BGRI</w:t>
            </w:r>
          </w:p>
        </w:tc>
      </w:tr>
      <w:tr w:rsidR="004361B1" w:rsidRPr="003F43E3" w14:paraId="6AC7363A" w14:textId="77777777" w:rsidTr="00C365F8">
        <w:tc>
          <w:tcPr>
            <w:tcW w:w="3083" w:type="dxa"/>
            <w:vAlign w:val="center"/>
          </w:tcPr>
          <w:p w14:paraId="3BD70AEF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439" w:type="dxa"/>
            <w:vAlign w:val="center"/>
          </w:tcPr>
          <w:p w14:paraId="43CB56A1" w14:textId="77777777" w:rsidR="004361B1" w:rsidRPr="003F43E3" w:rsidRDefault="004361B1" w:rsidP="0012301E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4361B1" w:rsidRPr="003F43E3" w14:paraId="10FBEF62" w14:textId="77777777" w:rsidTr="00C365F8">
        <w:tc>
          <w:tcPr>
            <w:tcW w:w="3083" w:type="dxa"/>
            <w:vAlign w:val="center"/>
          </w:tcPr>
          <w:p w14:paraId="777843CE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439" w:type="dxa"/>
            <w:vAlign w:val="center"/>
          </w:tcPr>
          <w:p w14:paraId="5BCE3609" w14:textId="4350CD49" w:rsidR="004361B1" w:rsidRPr="003F43E3" w:rsidRDefault="005D3DAA" w:rsidP="00533EC9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</w:t>
            </w:r>
            <w:r w:rsidR="00533EC9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June</w:t>
            </w:r>
            <w:r w:rsidR="004361B1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2018</w:t>
            </w:r>
          </w:p>
        </w:tc>
      </w:tr>
      <w:bookmarkEnd w:id="1"/>
    </w:tbl>
    <w:p w14:paraId="2C1B3C99" w14:textId="77777777" w:rsidR="004361B1" w:rsidRDefault="004361B1" w:rsidP="004361B1">
      <w:pPr>
        <w:pStyle w:val="BodyText"/>
        <w:ind w:right="545"/>
        <w:rPr>
          <w:color w:val="000000"/>
          <w:szCs w:val="20"/>
        </w:rPr>
      </w:pPr>
    </w:p>
    <w:p w14:paraId="2BF083B0" w14:textId="77777777" w:rsidR="004361B1" w:rsidRPr="004361B1" w:rsidRDefault="004361B1" w:rsidP="004361B1">
      <w:pPr>
        <w:pStyle w:val="BodyText"/>
        <w:rPr>
          <w:lang w:val="en-AU"/>
        </w:rPr>
      </w:pPr>
    </w:p>
    <w:sectPr w:rsidR="004361B1" w:rsidRPr="004361B1" w:rsidSect="0012301E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8A25" w14:textId="77777777" w:rsidR="00C70D3A" w:rsidRDefault="00C70D3A">
      <w:r>
        <w:separator/>
      </w:r>
    </w:p>
  </w:endnote>
  <w:endnote w:type="continuationSeparator" w:id="0">
    <w:p w14:paraId="10B5F075" w14:textId="77777777" w:rsidR="00C70D3A" w:rsidRDefault="00C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1C59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D6949" w14:textId="77777777" w:rsidR="0012301E" w:rsidRDefault="0012301E" w:rsidP="001230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CA4A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0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613BF2" w14:textId="77777777" w:rsidR="0012301E" w:rsidRDefault="0012301E" w:rsidP="00123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C498" w14:textId="77777777" w:rsidR="00C70D3A" w:rsidRDefault="00C70D3A">
      <w:r>
        <w:separator/>
      </w:r>
    </w:p>
  </w:footnote>
  <w:footnote w:type="continuationSeparator" w:id="0">
    <w:p w14:paraId="31E7911B" w14:textId="77777777" w:rsidR="00C70D3A" w:rsidRDefault="00C7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B69B" w14:textId="77777777" w:rsidR="0012301E" w:rsidRDefault="004361B1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18902393" wp14:editId="6CB1868E">
          <wp:simplePos x="0" y="0"/>
          <wp:positionH relativeFrom="column">
            <wp:posOffset>2051367</wp:posOffset>
          </wp:positionH>
          <wp:positionV relativeFrom="paragraph">
            <wp:posOffset>-893127</wp:posOffset>
          </wp:positionV>
          <wp:extent cx="1363816" cy="2123953"/>
          <wp:effectExtent l="953" t="0" r="9207" b="0"/>
          <wp:wrapNone/>
          <wp:docPr id="2" name="Picture 2" descr="Macintosh HD:Users:julia.charvolen:Desktop:GAC:GAC website:GAC logo :GA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ulia.charvolen:Desktop:GAC:GAC website:GAC logo :GAC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63816" cy="2123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799"/>
    <w:multiLevelType w:val="multilevel"/>
    <w:tmpl w:val="E1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D61E6"/>
    <w:multiLevelType w:val="multilevel"/>
    <w:tmpl w:val="203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896B99"/>
    <w:multiLevelType w:val="hybridMultilevel"/>
    <w:tmpl w:val="1016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E6B09"/>
    <w:multiLevelType w:val="hybridMultilevel"/>
    <w:tmpl w:val="2E4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3F46"/>
    <w:multiLevelType w:val="hybridMultilevel"/>
    <w:tmpl w:val="46B2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48F7"/>
    <w:multiLevelType w:val="hybridMultilevel"/>
    <w:tmpl w:val="E00A97AC"/>
    <w:lvl w:ilvl="0" w:tplc="D248C3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72D34"/>
    <w:multiLevelType w:val="hybridMultilevel"/>
    <w:tmpl w:val="C03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B1"/>
    <w:rsid w:val="00083781"/>
    <w:rsid w:val="000A2E18"/>
    <w:rsid w:val="000A353D"/>
    <w:rsid w:val="000F5DA7"/>
    <w:rsid w:val="001002A0"/>
    <w:rsid w:val="0010486C"/>
    <w:rsid w:val="00110CA7"/>
    <w:rsid w:val="0012301E"/>
    <w:rsid w:val="00141865"/>
    <w:rsid w:val="001F22E5"/>
    <w:rsid w:val="00285EDD"/>
    <w:rsid w:val="002E0299"/>
    <w:rsid w:val="00331F2A"/>
    <w:rsid w:val="00366290"/>
    <w:rsid w:val="003765A3"/>
    <w:rsid w:val="003F39D5"/>
    <w:rsid w:val="004134C7"/>
    <w:rsid w:val="004361B1"/>
    <w:rsid w:val="00492172"/>
    <w:rsid w:val="004A7363"/>
    <w:rsid w:val="004E3525"/>
    <w:rsid w:val="004E4507"/>
    <w:rsid w:val="00533EC9"/>
    <w:rsid w:val="005B60AA"/>
    <w:rsid w:val="005D3DAA"/>
    <w:rsid w:val="00603893"/>
    <w:rsid w:val="00671DD7"/>
    <w:rsid w:val="006B0F0E"/>
    <w:rsid w:val="007074E5"/>
    <w:rsid w:val="00775D36"/>
    <w:rsid w:val="007B5355"/>
    <w:rsid w:val="008F68D5"/>
    <w:rsid w:val="00AC08BE"/>
    <w:rsid w:val="00B00F9D"/>
    <w:rsid w:val="00BA5F54"/>
    <w:rsid w:val="00BC6D1B"/>
    <w:rsid w:val="00BE5829"/>
    <w:rsid w:val="00C0678C"/>
    <w:rsid w:val="00C365F8"/>
    <w:rsid w:val="00C70D3A"/>
    <w:rsid w:val="00DD157E"/>
    <w:rsid w:val="00DE28B4"/>
    <w:rsid w:val="00E01D4E"/>
    <w:rsid w:val="00E15046"/>
    <w:rsid w:val="00E15B53"/>
    <w:rsid w:val="00E6612A"/>
    <w:rsid w:val="00EA4C85"/>
    <w:rsid w:val="00F42B96"/>
    <w:rsid w:val="00F72B7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33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1B1"/>
    <w:rPr>
      <w:rFonts w:ascii="Times New Roman" w:eastAsia="Times New Roman" w:hAnsi="Times New Roman" w:cs="Times New Roman"/>
    </w:rPr>
  </w:style>
  <w:style w:type="paragraph" w:styleId="Heading1">
    <w:name w:val="heading 1"/>
    <w:next w:val="BodyText"/>
    <w:link w:val="Heading1Char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rFonts w:ascii="Century Gothic" w:eastAsia="Calibri" w:hAnsi="Century Gothic" w:cs="Times New Roman"/>
      <w:b/>
      <w:color w:val="00408E"/>
      <w:sz w:val="28"/>
      <w:szCs w:val="28"/>
      <w:lang w:val="en-AU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A4C85"/>
    <w:pPr>
      <w:keepNext/>
      <w:keepLines/>
      <w:spacing w:after="0" w:line="276" w:lineRule="auto"/>
      <w:ind w:right="547"/>
      <w:outlineLvl w:val="1"/>
    </w:pPr>
    <w:rPr>
      <w:rFonts w:ascii="Century Gothic" w:eastAsia="Calibri" w:hAnsi="Century Gothic"/>
      <w:b/>
      <w:color w:val="2F5496" w:themeColor="accent1" w:themeShade="B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1B1"/>
    <w:rPr>
      <w:rFonts w:ascii="Century Gothic" w:eastAsia="Calibri" w:hAnsi="Century Gothic" w:cs="Times New Roman"/>
      <w:b/>
      <w:color w:val="00408E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A4C85"/>
    <w:rPr>
      <w:rFonts w:ascii="Century Gothic" w:eastAsia="Calibri" w:hAnsi="Century Gothic" w:cs="Times New Roman"/>
      <w:b/>
      <w:color w:val="2F5496" w:themeColor="accent1" w:themeShade="BF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361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361B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361B1"/>
  </w:style>
  <w:style w:type="paragraph" w:styleId="BodyText">
    <w:name w:val="Body Text"/>
    <w:basedOn w:val="Normal"/>
    <w:link w:val="BodyTextChar"/>
    <w:uiPriority w:val="99"/>
    <w:unhideWhenUsed/>
    <w:rsid w:val="00436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61B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6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1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61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6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reviews/specific-reviews/atrt" TargetMode="External"/><Relationship Id="rId13" Type="http://schemas.openxmlformats.org/officeDocument/2006/relationships/hyperlink" Target="http://www.icann.org/en/committees/board-gac-2009/board-gac-jwg-final-report-19jun11-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ann.org/resources/pages/board-gac-2011-2012-02-28-en" TargetMode="External"/><Relationship Id="rId12" Type="http://schemas.openxmlformats.org/officeDocument/2006/relationships/hyperlink" Target="http://www.icann.org/en/committees/board-gac-2009/board-gac-jwg-final-report-19jun11-en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nn.org/en/reviews/affirmation/atrt-final-recommendations-31dec10-en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mmunity.icann.org/display/atrt/ATRT2+Implementation+Progr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cann.org/resources/reviews/specific-reviews/atrt" TargetMode="External"/><Relationship Id="rId14" Type="http://schemas.openxmlformats.org/officeDocument/2006/relationships/hyperlink" Target="https://www.icann.org/resources/accounta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Agenda Item XX.   Board-GAC Review Implementation (BGRI) Working Group</vt:lpstr>
      <vt:lpstr>    Issue:</vt:lpstr>
      <vt:lpstr>    Efforts to improve the processing and tracking of GAC advice have been an unde</vt:lpstr>
      <vt:lpstr>    GAC Action Required:</vt:lpstr>
      <vt:lpstr>    Current Position:</vt:lpstr>
      <vt:lpstr>    Further Background Information/Details:</vt:lpstr>
      <vt:lpstr>    The Board-GAC Recommendations Implementation Working Group (BGRI-WG) (https://ww</vt:lpstr>
      <vt:lpstr>    </vt:lpstr>
      <vt:lpstr>    Document Administration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Charvolen</dc:creator>
  <cp:keywords/>
  <dc:description/>
  <cp:lastModifiedBy>Julia Charvolen</cp:lastModifiedBy>
  <cp:revision>2</cp:revision>
  <dcterms:created xsi:type="dcterms:W3CDTF">2018-06-07T09:13:00Z</dcterms:created>
  <dcterms:modified xsi:type="dcterms:W3CDTF">2018-06-07T09:13:00Z</dcterms:modified>
</cp:coreProperties>
</file>